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востребованным становится психолого-педагогическое сопровождение всех участников образовательного процесса. Поэтому забота о реализации права ребенка на полноценное и свободное развитие сегодня является неотъемлемой частью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любого дошкольного учреждения. В связи с этим сопровождение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профессиональной деятельности, направленная на создание социально-психологических условий для успешного воспитания, обучения и развития ребёнка на каждом возрастном этапе становится не только немаловажной частью общей педагогической и психологической деятельности, 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объектом научной работы и педагогической практики.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 прошедшего обучение: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индивидуально-личностное развитие детей дошкольного возраста;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социальное сопровождение детей, родителей, педагогов-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воспитателей в образовательных учреждениях различного типа и вида;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I. 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психологического развития детей дошкольного возраста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возраста в психологии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Психическое и личностное развитие детей дошкольного возраста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особенностей детей дошкольного возраста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 психологические проблемы детей дошкольного возраста, способы их определения и коррекции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социально-педагогическое сопровождение детей дошкольного возраста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Детско-родительские отношения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 как среда, обуславливающая развитие личности ребенка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 и особенности психолого-педагогической работы с семьей ребенка дошкольного возраста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социальной ситуации развития в дошкольном возрасте: взаимодействие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дошкольного учреждения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и социально-педагогическая поддержка детей, подвергшихся насилию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="numbering.xml" Id="docRId4" Type="http://schemas.openxmlformats.org/officeDocument/2006/relationships/numbering"/></Relationships>
</file>